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Höganäs kommunfullmäktige</w:t>
      </w:r>
    </w:p>
    <w:p>
      <w:pPr>
        <w:pStyle w:val="Heading1"/>
      </w:pPr>
      <w:r>
        <w:t xml:space="preserve">HBTQI-certifiering av kommunala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Höganäs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 skolmiljö för alla elever är en liberal prioritering. Höganäs skolor saknar systematiskt HBTQI-arbete enligt Skolverkets kartläggning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Höganäs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HBTQI-certifiering till samtliga kommunala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för utbildning av personal i normkritisk pedagogik.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inkludera HBTQI-perspektiv i likabehandlingsplanerna.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elevernas upplevda trygghet årligen.</w:t>
      </w:r>
    </w:p>
    <w:p>
      <w:pPr>
        <w:spacing w:before="360"/>
      </w:pPr>
    </w:p>
    <w:p>
      <w:r>
        <w:t xml:space="preserve">Höganäs,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Höganäs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2026-07-14T03:38:42.132Z</dcterms:created>
  <dcterms:modified xsi:type="dcterms:W3CDTF">2026-07-14T03:38:42.132Z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